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32E6D" w14:textId="77777777" w:rsidR="002B6B93" w:rsidRDefault="002B6B93" w:rsidP="002B6B93">
      <w:r>
        <w:t>Uzasadnienie Uchwały</w:t>
      </w:r>
    </w:p>
    <w:p w14:paraId="7038E18A" w14:textId="77777777" w:rsidR="002B6B93" w:rsidRDefault="002B6B93" w:rsidP="002B6B93">
      <w:r>
        <w:t>Spółdzielnie energetyczne</w:t>
      </w:r>
    </w:p>
    <w:p w14:paraId="51315215" w14:textId="77777777" w:rsidR="002B6B93" w:rsidRDefault="002B6B93" w:rsidP="002B6B93">
      <w:pPr>
        <w:jc w:val="both"/>
      </w:pPr>
      <w:r>
        <w:t xml:space="preserve">Spółdzielnie energetyczne działają w oparciu o system </w:t>
      </w:r>
      <w:proofErr w:type="spellStart"/>
      <w:r>
        <w:t>prosumencki</w:t>
      </w:r>
      <w:proofErr w:type="spellEnd"/>
      <w:r>
        <w:t xml:space="preserve"> polegający na rozliczeniu energii na podstawie tzw. opustów. Sprzedawca energii rozlicza się ze spółdzielnią energetyczną jedynie z różnicy pomiędzy ilością energii elektrycznej wprowadzonej do sieci dystrybucyjnej elektroenergetycznej i ilości energii elektrycznej pobranej z tej sieci na potrzeby własne przez spółdzielnię (jej członków) w stosunku skorygowanym współczynnikiem ilościowym 1 do 0,6 (w przypadku prosumentów indywidualnych stosuje się w zależności od mocy instalacji współczynniki 1 do 0,8 lub 1 do 0,7). Innymi słowy, za 1 MWh energii wytworzonej przez spółdzielnię i niewykorzystanej w danym momencie przez członków spółdzielni, czyli wprowadzonej do sieci dystrybucyjnej (sieć w tej sytuacji spełnia rolę magazynu niewykorzystanej przez spółdzielnię energii), można z niej pobrać 0,6 MWh energii. Może się to dziać w dowolnym momencie w ramach okresu rozliczeniowego, gdy źródła wytwórcze spółdzielni nie będą pokrywać bieżącego zapotrzebowania. Rozliczenie to dotyczy energii elektrycznej wprowadzonej i pobranej z sieci dystrybucyjnej przez wszystkich wytwórców i odbiorców energii elektrycznej będących członkami spółdzielni energetycznej. Taka sama zasada obowiązuje, jeżeli przedmiotem działania spółdzielni jest ciepło lub biogaz.</w:t>
      </w:r>
    </w:p>
    <w:p w14:paraId="6C26DFA5" w14:textId="77777777" w:rsidR="002B6B93" w:rsidRDefault="002B6B93" w:rsidP="002B6B93">
      <w:r>
        <w:tab/>
        <w:t>Cele i korzyści dla Gminy Jastków</w:t>
      </w:r>
    </w:p>
    <w:p w14:paraId="2A5EABFD" w14:textId="77777777" w:rsidR="002B6B93" w:rsidRDefault="002B6B93" w:rsidP="002B6B93">
      <w:r>
        <w:t>Zasadniczymi celami tworzenia spółdzielni energetycznej są m.in:</w:t>
      </w:r>
    </w:p>
    <w:p w14:paraId="0CF8C3E2" w14:textId="77777777" w:rsidR="002B6B93" w:rsidRDefault="002B6B93" w:rsidP="002B6B93">
      <w:r>
        <w:t>a)</w:t>
      </w:r>
      <w:r>
        <w:tab/>
        <w:t>budowa lokalnej samowystarczalności energetycznej,</w:t>
      </w:r>
    </w:p>
    <w:p w14:paraId="3E7F66B4" w14:textId="77777777" w:rsidR="002B6B93" w:rsidRDefault="002B6B93" w:rsidP="002B6B93">
      <w:r>
        <w:t>b)</w:t>
      </w:r>
      <w:r>
        <w:tab/>
        <w:t>zwiększenie niezależności energetycznej obszaru Gminy Jastków,</w:t>
      </w:r>
    </w:p>
    <w:p w14:paraId="3893EAAC" w14:textId="77777777" w:rsidR="002B6B93" w:rsidRDefault="002B6B93" w:rsidP="002B6B93">
      <w:r>
        <w:t>c)</w:t>
      </w:r>
      <w:r>
        <w:tab/>
        <w:t xml:space="preserve">poprawa warunków życia i prowadzenia działalności gospodarczej na terenie Gminy, w tym    </w:t>
      </w:r>
    </w:p>
    <w:p w14:paraId="1D9E95D0" w14:textId="77777777" w:rsidR="002B6B93" w:rsidRDefault="002B6B93" w:rsidP="002B6B93">
      <w:r>
        <w:t xml:space="preserve">              zwiększenie konkurencyjności, uzyskanej dzięki tańszej energii elektrycznej,</w:t>
      </w:r>
    </w:p>
    <w:p w14:paraId="67E6116B" w14:textId="77777777" w:rsidR="002B6B93" w:rsidRDefault="002B6B93" w:rsidP="002B6B93">
      <w:r>
        <w:t>d)</w:t>
      </w:r>
      <w:r>
        <w:tab/>
        <w:t xml:space="preserve">zmniejszenie poziomu zanieczyszczeń dzięki wykorzystaniu źródeł OZE. </w:t>
      </w:r>
    </w:p>
    <w:p w14:paraId="0037334E" w14:textId="77777777" w:rsidR="002B6B93" w:rsidRDefault="002B6B93" w:rsidP="002B6B93">
      <w:r>
        <w:t>e)          zapewnienie tańszej energii dla osób zagrożonych ubóstwem energetycznym</w:t>
      </w:r>
    </w:p>
    <w:p w14:paraId="60B7ED5C" w14:textId="77777777" w:rsidR="002B6B93" w:rsidRDefault="002B6B93" w:rsidP="002B6B93"/>
    <w:p w14:paraId="0B19BAD8" w14:textId="77777777" w:rsidR="002B6B93" w:rsidRDefault="002B6B93" w:rsidP="002B6B93">
      <w:pPr>
        <w:jc w:val="both"/>
      </w:pPr>
      <w:r>
        <w:t xml:space="preserve">Spółdzielnia energetyczna będąc prosumentem funkcjonuje w systemie elektroenergetycznym na mocy umowy kompleksowej podpisanej z zewnętrznym sprzedawcą energii. Umowa ta reguluje kwestie zarówno dystrybucji, jak i sprzedaży ewentualnych niedoborów energii do spółdzielni. Dla sprzedawcy energii spółdzielnia energetyczna jest jednym, zbiorowym odbiorcą końcowym, ale także rozlicza on każdego członka Spółdzielni osobno za energię pobrana dodatkowo z sieci i za opłaty dystrybucyjne stałe. Na potrzeby wewnętrznych rozliczeń spółdzielni energetycznej pomiędzy jej poszczególnymi członkami, sprzedawca podaje ilości wprowadzonej i pobranej z sieci energii przez poszczególnych członków spółdzielni. Spółdzielnia rozlicza je zgodnie z wewnętrznie przyjętymi zasadami. Ilość niewykorzystanej energii pozostaje do odebrania (skompensowania) w ramach danego 12 miesięcznego okresu rozliczeniowego. </w:t>
      </w:r>
    </w:p>
    <w:p w14:paraId="752198DA" w14:textId="77777777" w:rsidR="002B6B93" w:rsidRDefault="002B6B93" w:rsidP="002B6B93">
      <w:pPr>
        <w:jc w:val="both"/>
      </w:pPr>
      <w:r>
        <w:t xml:space="preserve">Funkcjonowanie spółdzielni energetycznej wiąże się z konkretnymi korzyściami na poziomie spółdzielni, które następnie mogą być kaskadowane na jej członków. Rozliczenie spółdzielni energetycznej realizowane jest przez sprzedawcę, w modelu opustowym, na podstawie danych pomiarowych przekazanych przez OSD. </w:t>
      </w:r>
      <w:r>
        <w:tab/>
      </w:r>
      <w:r>
        <w:br/>
      </w:r>
      <w:r>
        <w:br/>
      </w:r>
      <w:r>
        <w:br/>
      </w:r>
      <w:r>
        <w:lastRenderedPageBreak/>
        <w:br/>
        <w:t>Pierwszą z korzyści jest:</w:t>
      </w:r>
    </w:p>
    <w:p w14:paraId="24F1DFBA" w14:textId="77777777" w:rsidR="002B6B93" w:rsidRDefault="002B6B93" w:rsidP="002B6B93">
      <w:pPr>
        <w:jc w:val="both"/>
      </w:pPr>
      <w:r>
        <w:t>a)</w:t>
      </w:r>
      <w:r>
        <w:tab/>
        <w:t xml:space="preserve">maksymalizacja </w:t>
      </w:r>
      <w:proofErr w:type="spellStart"/>
      <w:r>
        <w:t>autokonsumpcji</w:t>
      </w:r>
      <w:proofErr w:type="spellEnd"/>
      <w:r>
        <w:t xml:space="preserve"> energii - uzyskiwana dzięki saldowaniu dobowo-godzinowym ilości energii elektrycznej wprowadzonej i pobranej z sieci dystrybucyjnej przez wszystkich wytwórców i odbiorców wchodzących w skład spółdzielni energetycznej po wcześniejszym sumarycznym bilansowaniu ilości energii wprowadzonej i pobranej z sieci dystrybucyjnej z wszystkich faz instalacji.</w:t>
      </w:r>
    </w:p>
    <w:p w14:paraId="6E20B836" w14:textId="77777777" w:rsidR="002B6B93" w:rsidRDefault="002B6B93" w:rsidP="002B6B93">
      <w:r>
        <w:t>Od rozliczonej ilości energii elektrycznej spółdzielnia energetyczna:</w:t>
      </w:r>
    </w:p>
    <w:p w14:paraId="7847E10E" w14:textId="77777777" w:rsidR="002B6B93" w:rsidRDefault="002B6B93" w:rsidP="002B6B93">
      <w:r>
        <w:t>b)</w:t>
      </w:r>
      <w:r>
        <w:tab/>
        <w:t xml:space="preserve">nie uiszcza na rzecz sprzedawcy opłat rozliczeniowych, </w:t>
      </w:r>
    </w:p>
    <w:p w14:paraId="7891D696" w14:textId="77777777" w:rsidR="002B6B93" w:rsidRDefault="002B6B93" w:rsidP="002B6B93">
      <w:r>
        <w:t>c)</w:t>
      </w:r>
      <w:r>
        <w:tab/>
        <w:t>nie uiszcza opłat za usługę dystrybucji, których wysokość zależy od ilości pobranej energii elektrycznej przez wszystkich wytwórców i odbiorców spółdzielni (składnik zmienny dystrybucyjny).</w:t>
      </w:r>
    </w:p>
    <w:p w14:paraId="0DE2261E" w14:textId="77777777" w:rsidR="002B6B93" w:rsidRDefault="002B6B93" w:rsidP="002B6B93">
      <w:pPr>
        <w:jc w:val="both"/>
      </w:pPr>
      <w:r>
        <w:t>W odniesieniu do ilości energii elektrycznej wytworzonej we wszystkich instalacjach odnawialnych źródeł energii spółdzielni energetycznej, a następnie zużytej przez wszystkich odbiorców energii elektrycznej spółdzielni energetycznej:</w:t>
      </w:r>
    </w:p>
    <w:p w14:paraId="37DCF67C" w14:textId="77777777" w:rsidR="002B6B93" w:rsidRDefault="002B6B93" w:rsidP="002B6B93">
      <w:r>
        <w:t>d)</w:t>
      </w:r>
      <w:r>
        <w:tab/>
        <w:t>nie nalicza się i nie pobiera:</w:t>
      </w:r>
    </w:p>
    <w:p w14:paraId="32E8C59E" w14:textId="77777777" w:rsidR="002B6B93" w:rsidRDefault="002B6B93" w:rsidP="002B6B93">
      <w:r>
        <w:t>•</w:t>
      </w:r>
      <w:r>
        <w:tab/>
        <w:t>opłaty OZE, o której mowa w art. 95. ust. 1 ustawy o Odnawialnych Źródłach Energii,</w:t>
      </w:r>
    </w:p>
    <w:p w14:paraId="26F21EAF" w14:textId="77777777" w:rsidR="002B6B93" w:rsidRDefault="002B6B93" w:rsidP="002B6B93">
      <w:r>
        <w:t>•</w:t>
      </w:r>
      <w:r>
        <w:tab/>
        <w:t xml:space="preserve">opłaty </w:t>
      </w:r>
      <w:proofErr w:type="spellStart"/>
      <w:r>
        <w:t>mocowej</w:t>
      </w:r>
      <w:proofErr w:type="spellEnd"/>
      <w:r>
        <w:t xml:space="preserve"> w rozumieniu przepisów ustawy z dnia 8 grudnia 2017 r. o rynku mocy,</w:t>
      </w:r>
    </w:p>
    <w:p w14:paraId="318FE2B6" w14:textId="77777777" w:rsidR="002B6B93" w:rsidRDefault="002B6B93" w:rsidP="002B6B93">
      <w:r>
        <w:t>•</w:t>
      </w:r>
      <w:r>
        <w:tab/>
        <w:t>opłaty kogeneracyjnej w rozumieniu przepisów ustawy z dnia 14 grudnia 2018 r. o promowaniu energii elektrycznej z wysokosprawnej kogeneracji,</w:t>
      </w:r>
    </w:p>
    <w:p w14:paraId="77F9305D" w14:textId="77777777" w:rsidR="002B6B93" w:rsidRDefault="002B6B93" w:rsidP="002B6B93">
      <w:r>
        <w:t>•</w:t>
      </w:r>
      <w:r>
        <w:tab/>
        <w:t>podatku akcyzowego pod warunkiem, że łączna moc zainstalowana elektryczna wszystkich instalacji odnawialnego źródła energii spółdzielni energetycznej nie przekracza 1 MW;</w:t>
      </w:r>
    </w:p>
    <w:p w14:paraId="2DC14E3B" w14:textId="77777777" w:rsidR="002B6B93" w:rsidRDefault="002B6B93" w:rsidP="002B6B93">
      <w:r>
        <w:t>e)</w:t>
      </w:r>
      <w:r>
        <w:tab/>
        <w:t>nie stosuje się obowiązków umarzania świadectw pochodzenia lub uiszczenia opłaty zastępczej o których mowa w art. 52. ust. 1 (certyfikaty zielone, błękitne), ani wynikających z art. 10 ustawy o efektywności energetycznej (certyfikaty białe).</w:t>
      </w:r>
    </w:p>
    <w:p w14:paraId="4FBE4D6C" w14:textId="77777777" w:rsidR="00880B8B" w:rsidRDefault="00880B8B"/>
    <w:sectPr w:rsidR="00880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93"/>
    <w:rsid w:val="000B7A88"/>
    <w:rsid w:val="002B6B93"/>
    <w:rsid w:val="00762EFD"/>
    <w:rsid w:val="00880B8B"/>
    <w:rsid w:val="008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A51"/>
  <w15:chartTrackingRefBased/>
  <w15:docId w15:val="{2CD4EDF2-A5C7-4F7F-9FD5-F3B8D68D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B9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B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B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B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B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B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B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B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B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B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B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B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B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B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B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B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6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B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6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B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6B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B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6B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B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Chudzik</dc:creator>
  <cp:keywords/>
  <dc:description/>
  <cp:lastModifiedBy>Piotr Chudzik</cp:lastModifiedBy>
  <cp:revision>1</cp:revision>
  <dcterms:created xsi:type="dcterms:W3CDTF">2025-09-23T13:25:00Z</dcterms:created>
  <dcterms:modified xsi:type="dcterms:W3CDTF">2025-09-23T13:25:00Z</dcterms:modified>
</cp:coreProperties>
</file>